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47" w:rsidRDefault="00024147" w:rsidP="00024147">
      <w:pPr>
        <w:spacing w:before="0" w:after="200"/>
        <w:jc w:val="center"/>
        <w:rPr>
          <w:b/>
          <w:color w:val="F03741"/>
          <w:sz w:val="28"/>
          <w:szCs w:val="28"/>
        </w:rPr>
      </w:pPr>
      <w:bookmarkStart w:id="0" w:name="_ss1cz7rxlxlh" w:colFirst="0" w:colLast="0"/>
      <w:bookmarkEnd w:id="0"/>
    </w:p>
    <w:p w:rsidR="0013599F" w:rsidRPr="00024147" w:rsidRDefault="002C7CD6" w:rsidP="00024147">
      <w:pPr>
        <w:spacing w:before="0" w:after="200"/>
        <w:jc w:val="center"/>
        <w:rPr>
          <w:color w:val="000000" w:themeColor="text1"/>
          <w:sz w:val="28"/>
          <w:szCs w:val="28"/>
        </w:rPr>
      </w:pPr>
      <w:r w:rsidRPr="00024147">
        <w:rPr>
          <w:b/>
          <w:color w:val="000000" w:themeColor="text1"/>
          <w:sz w:val="28"/>
          <w:szCs w:val="28"/>
        </w:rPr>
        <w:t>Pokyn pro oznamování o zapojení nového dalšího účastníka (podniku) do projektu</w:t>
      </w:r>
    </w:p>
    <w:p w:rsidR="0013599F" w:rsidRDefault="0013599F"/>
    <w:p w:rsidR="0013599F" w:rsidRDefault="002C7CD6">
      <w:pPr>
        <w:numPr>
          <w:ilvl w:val="0"/>
          <w:numId w:val="2"/>
        </w:numPr>
        <w:spacing w:after="200"/>
        <w:jc w:val="both"/>
        <w:rPr>
          <w:b/>
        </w:rPr>
      </w:pPr>
      <w:bookmarkStart w:id="1" w:name="_1fikclq563oz" w:colFirst="0" w:colLast="0"/>
      <w:bookmarkEnd w:id="1"/>
      <w:r>
        <w:rPr>
          <w:b/>
        </w:rPr>
        <w:t>ÚVODNÍ INFORMACE</w:t>
      </w:r>
      <w:bookmarkStart w:id="2" w:name="_GoBack"/>
      <w:bookmarkEnd w:id="2"/>
    </w:p>
    <w:p w:rsidR="0013599F" w:rsidRDefault="002C7CD6">
      <w:pPr>
        <w:numPr>
          <w:ilvl w:val="0"/>
          <w:numId w:val="5"/>
        </w:numPr>
        <w:spacing w:before="0" w:after="200"/>
        <w:jc w:val="both"/>
      </w:pPr>
      <w:r>
        <w:t xml:space="preserve">Tento pokyn stanovuje postup pro oznamování zapojení nového dalšího účastníka </w:t>
      </w:r>
      <w:r>
        <w:rPr>
          <w:b/>
          <w:color w:val="F03741"/>
        </w:rPr>
        <w:t xml:space="preserve">typu podnik </w:t>
      </w:r>
      <w:r>
        <w:t xml:space="preserve">(dále jen „Podnik”) do projektu podpořeného ve 4. VS </w:t>
      </w:r>
      <w:proofErr w:type="gramStart"/>
      <w:r>
        <w:t>SIGMA - DC1</w:t>
      </w:r>
      <w:proofErr w:type="gramEnd"/>
      <w:r>
        <w:t>.</w:t>
      </w:r>
    </w:p>
    <w:p w:rsidR="0013599F" w:rsidRDefault="002C7CD6">
      <w:pPr>
        <w:numPr>
          <w:ilvl w:val="0"/>
          <w:numId w:val="5"/>
        </w:numPr>
        <w:spacing w:before="0" w:after="200"/>
        <w:jc w:val="both"/>
      </w:pPr>
      <w:bookmarkStart w:id="3" w:name="_ywemrlksotoc" w:colFirst="0" w:colLast="0"/>
      <w:bookmarkEnd w:id="3"/>
      <w:r>
        <w:t xml:space="preserve">Na proces přistoupení Podniku do projektu se </w:t>
      </w:r>
      <w:r>
        <w:rPr>
          <w:b/>
        </w:rPr>
        <w:t xml:space="preserve">neaplikuje </w:t>
      </w:r>
      <w:r>
        <w:t>směrnice SME-07 Změnová řízení projektů.</w:t>
      </w:r>
    </w:p>
    <w:p w:rsidR="0013599F" w:rsidRDefault="002C7CD6">
      <w:pPr>
        <w:numPr>
          <w:ilvl w:val="0"/>
          <w:numId w:val="5"/>
        </w:numPr>
        <w:spacing w:before="0" w:after="200"/>
        <w:jc w:val="both"/>
      </w:pPr>
      <w:bookmarkStart w:id="4" w:name="_pd4xpyk7w739" w:colFirst="0" w:colLast="0"/>
      <w:bookmarkEnd w:id="4"/>
      <w:r>
        <w:t>Za výběr, kontrolu a hodnocení Podniků je zcela odpovědný hlavní příjemce. Výběr, kontrolu a hodnocení provádí pracoviště managementu znalostí (CTT)</w:t>
      </w:r>
      <w:r>
        <w:rPr>
          <w:vertAlign w:val="superscript"/>
        </w:rPr>
        <w:footnoteReference w:id="1"/>
      </w:r>
      <w:r>
        <w:rPr>
          <w:vertAlign w:val="superscript"/>
        </w:rPr>
        <w:t>,</w:t>
      </w:r>
      <w:r>
        <w:rPr>
          <w:vertAlign w:val="superscript"/>
        </w:rPr>
        <w:footnoteReference w:id="2"/>
      </w:r>
      <w:r>
        <w:t>, Rada p</w:t>
      </w:r>
      <w:r>
        <w:t>ro komercializaci následně rozhodne, zda se zapojením Podniku souhlasí, a to na základě podkladů dodaných CTT.</w:t>
      </w:r>
    </w:p>
    <w:p w:rsidR="0013599F" w:rsidRDefault="002C7CD6">
      <w:pPr>
        <w:numPr>
          <w:ilvl w:val="0"/>
          <w:numId w:val="5"/>
        </w:numPr>
        <w:spacing w:before="0" w:after="200"/>
        <w:jc w:val="both"/>
      </w:pPr>
      <w:bookmarkStart w:id="5" w:name="_82g7ve9jhl7s" w:colFirst="0" w:colLast="0"/>
      <w:bookmarkEnd w:id="5"/>
      <w:r>
        <w:t>Technologická agentura ČR (TA ČR) může během realizace projektu provést kontrolu způsobilosti a dalších stanovených podmínek všech zapojených sub</w:t>
      </w:r>
      <w:r>
        <w:t xml:space="preserve">jektů (hlavní příjemce, další účastníci). </w:t>
      </w:r>
    </w:p>
    <w:p w:rsidR="0013599F" w:rsidRDefault="002C7CD6">
      <w:pPr>
        <w:numPr>
          <w:ilvl w:val="0"/>
          <w:numId w:val="2"/>
        </w:numPr>
        <w:spacing w:before="200" w:after="200"/>
        <w:jc w:val="both"/>
        <w:rPr>
          <w:b/>
        </w:rPr>
      </w:pPr>
      <w:bookmarkStart w:id="6" w:name="_db68imv2pcva" w:colFirst="0" w:colLast="0"/>
      <w:bookmarkEnd w:id="6"/>
      <w:r>
        <w:rPr>
          <w:b/>
        </w:rPr>
        <w:t>POSTUP</w:t>
      </w:r>
    </w:p>
    <w:p w:rsidR="0013599F" w:rsidRDefault="002C7CD6">
      <w:pPr>
        <w:numPr>
          <w:ilvl w:val="0"/>
          <w:numId w:val="1"/>
        </w:numPr>
        <w:jc w:val="both"/>
      </w:pPr>
      <w:bookmarkStart w:id="7" w:name="_uiclrv4xphxk" w:colFirst="0" w:colLast="0"/>
      <w:bookmarkEnd w:id="7"/>
      <w:r>
        <w:t>CTT vybere vhodný Podnik, který se do projektu zapojí.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bookmarkStart w:id="8" w:name="_jn1vz95wggqp" w:colFirst="0" w:colLast="0"/>
      <w:bookmarkEnd w:id="8"/>
      <w:r>
        <w:t>CTT provede kontrolu a hodnocení vybraného Podniku, tj. zkontroluje a zhodnotí, zda Podnik: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má </w:t>
      </w:r>
      <w:r>
        <w:rPr>
          <w:b/>
        </w:rPr>
        <w:t>odborné předpoklady</w:t>
      </w:r>
      <w:r>
        <w:t xml:space="preserve"> pro řešení projektu;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má příslušné </w:t>
      </w:r>
      <w:r>
        <w:rPr>
          <w:b/>
        </w:rPr>
        <w:t>op</w:t>
      </w:r>
      <w:r>
        <w:rPr>
          <w:b/>
        </w:rPr>
        <w:t>rávnění k činnosti</w:t>
      </w:r>
      <w:r>
        <w:t>, je-li vyžadováno zvláštním právním předpisem;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není v </w:t>
      </w:r>
      <w:r>
        <w:rPr>
          <w:b/>
        </w:rPr>
        <w:t xml:space="preserve">likvidaci </w:t>
      </w:r>
      <w:r>
        <w:t xml:space="preserve">a jeho úpadek nebo hrozící úpadek není řešen v </w:t>
      </w:r>
      <w:r>
        <w:rPr>
          <w:b/>
        </w:rPr>
        <w:t>insolvenčním řízení;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má </w:t>
      </w:r>
      <w:r>
        <w:rPr>
          <w:b/>
        </w:rPr>
        <w:t>vypořádány splatné závazky</w:t>
      </w:r>
      <w:r>
        <w:t xml:space="preserve"> ve vztahu ke státnímu rozpočtu nebo rozpočtu územního samosprávného celku a</w:t>
      </w:r>
      <w:r>
        <w:t xml:space="preserve"> další splatné závazky vůči státu, státnímu fondu, zdravotní pojišťovně nebo k České správě sociálního zabezpečení;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je-li fyzickou osobou, </w:t>
      </w:r>
      <w:r>
        <w:rPr>
          <w:b/>
        </w:rPr>
        <w:t>nebyl pravomocně odsouzen</w:t>
      </w:r>
      <w:r>
        <w:t xml:space="preserve"> pro trestný čin, jehož skutková podstata souvisí s předmětem podnikání uchazeče, nebo pro t</w:t>
      </w:r>
      <w:r>
        <w:t>restný čin hospodářský nebo trestný čin proti majetku, nebo se na něj tak podle zákona hledí;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lastRenderedPageBreak/>
        <w:t xml:space="preserve">je-li právnickou osobou, </w:t>
      </w:r>
      <w:r>
        <w:rPr>
          <w:b/>
        </w:rPr>
        <w:t>nebyl pravomocně odsouzen</w:t>
      </w:r>
      <w:r>
        <w:t xml:space="preserve"> pro trestný čin, jehož skutková podstata souvisí s předmětem podnikání (činnosti) nebo pro trestný čin hospodář</w:t>
      </w:r>
      <w:r>
        <w:t>ský, nebo trestný čin proti majetku, nebo se na něj tak podle zákona hledí,</w:t>
      </w:r>
    </w:p>
    <w:p w:rsidR="0013599F" w:rsidRDefault="002C7CD6">
      <w:pPr>
        <w:numPr>
          <w:ilvl w:val="2"/>
          <w:numId w:val="1"/>
        </w:numPr>
        <w:spacing w:before="0"/>
        <w:jc w:val="both"/>
        <w:rPr>
          <w:sz w:val="18"/>
          <w:szCs w:val="18"/>
        </w:rPr>
      </w:pPr>
      <w:bookmarkStart w:id="9" w:name="_t45xfd4z57bb" w:colFirst="0" w:colLast="0"/>
      <w:bookmarkEnd w:id="9"/>
      <w:r>
        <w:rPr>
          <w:sz w:val="19"/>
          <w:szCs w:val="19"/>
          <w:highlight w:val="white"/>
        </w:rPr>
        <w:t>prokazuje se i u osob, které vykonávají funkci statutárního orgánu;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nebyl v posledních třech letech </w:t>
      </w:r>
      <w:r>
        <w:rPr>
          <w:b/>
        </w:rPr>
        <w:t>disciplinárně potrestán</w:t>
      </w:r>
      <w:r>
        <w:t xml:space="preserve"> podle zvláštních právních předpisů upravujících výkon od</w:t>
      </w:r>
      <w:r>
        <w:t xml:space="preserve">borné činnosti, pokud tato činnost souvisí s předmětem veřejné soutěže; 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není v pracovněprávním ani jiném obdobném </w:t>
      </w:r>
      <w:r>
        <w:rPr>
          <w:b/>
        </w:rPr>
        <w:t>poměru k TA ČR</w:t>
      </w:r>
      <w:r>
        <w:t xml:space="preserve"> podle § 23 odst. 2 ZPVV;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je právnickou nebo fyzickou osobou, která není podle přímo použitelného předpisu Evropské unie </w:t>
      </w:r>
      <w:r>
        <w:rPr>
          <w:b/>
        </w:rPr>
        <w:t>podnik</w:t>
      </w:r>
      <w:r>
        <w:rPr>
          <w:b/>
        </w:rPr>
        <w:t>em v obtížích</w:t>
      </w:r>
      <w:r>
        <w:rPr>
          <w:b/>
          <w:vertAlign w:val="superscript"/>
        </w:rPr>
        <w:footnoteReference w:id="3"/>
      </w:r>
      <w:r>
        <w:rPr>
          <w:b/>
        </w:rPr>
        <w:t>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vůči němuž nebyl v návaznosti na rozhodnutí Evropské komise vystaven </w:t>
      </w:r>
      <w:r>
        <w:rPr>
          <w:b/>
        </w:rPr>
        <w:t>inkasní příkaz</w:t>
      </w:r>
      <w:r>
        <w:rPr>
          <w:b/>
          <w:vertAlign w:val="superscript"/>
        </w:rPr>
        <w:footnoteReference w:id="4"/>
      </w:r>
      <w:r>
        <w:rPr>
          <w:b/>
        </w:rPr>
        <w:t xml:space="preserve"> </w:t>
      </w:r>
      <w:r>
        <w:t>podle přímo použitelného předpisu Evropské unie;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má v </w:t>
      </w:r>
      <w:hyperlink r:id="rId7">
        <w:r w:rsidRPr="000C0950">
          <w:rPr>
            <w:b/>
            <w:color w:val="F03741"/>
            <w:u w:val="single"/>
          </w:rPr>
          <w:t>Evidenci skutečných majitelů</w:t>
        </w:r>
      </w:hyperlink>
      <w:r>
        <w:t xml:space="preserve"> zapsané své skutečné majitele, pokud mu tak zákon ukládá</w:t>
      </w:r>
      <w:r>
        <w:rPr>
          <w:vertAlign w:val="superscript"/>
        </w:rPr>
        <w:footnoteReference w:id="5"/>
      </w:r>
      <w:r>
        <w:t>, a to nejpozději ke dni schválení jeho přistoupení Radou pro komercializaci,</w:t>
      </w:r>
    </w:p>
    <w:p w:rsidR="0013599F" w:rsidRDefault="002C7CD6">
      <w:pPr>
        <w:numPr>
          <w:ilvl w:val="2"/>
          <w:numId w:val="1"/>
        </w:numPr>
        <w:spacing w:before="0"/>
        <w:jc w:val="both"/>
      </w:pPr>
      <w:bookmarkStart w:id="10" w:name="_z1e5okr2rs0h" w:colFirst="0" w:colLast="0"/>
      <w:bookmarkEnd w:id="10"/>
      <w:r>
        <w:t>v případě, že je Podnik zahraničním subjektem, vztahuje se tato povinnost na výpis ze zahraniční evidence obdobné eviden</w:t>
      </w:r>
      <w:r>
        <w:t>ci skutečných majitelů, pokud taková zahraniční evidence existuje;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>není z 25 % nebo více vlastněn veřejným funkcionářem</w:t>
      </w:r>
      <w:r>
        <w:rPr>
          <w:vertAlign w:val="superscript"/>
        </w:rPr>
        <w:footnoteReference w:id="6"/>
      </w:r>
      <w:r>
        <w:t xml:space="preserve"> a </w:t>
      </w:r>
      <w:r>
        <w:rPr>
          <w:b/>
        </w:rPr>
        <w:t>nedochází tak ke střetu zájmů</w:t>
      </w:r>
      <w:r>
        <w:rPr>
          <w:vertAlign w:val="superscript"/>
        </w:rPr>
        <w:footnoteReference w:id="7"/>
      </w:r>
      <w:r>
        <w:t>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>není pod (potenciálním)</w:t>
      </w:r>
      <w:r>
        <w:rPr>
          <w:b/>
        </w:rPr>
        <w:t xml:space="preserve"> vlivem Ruské federace;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>nemá skutečné majitele, kteří by byli uvedeni na někte</w:t>
      </w:r>
      <w:r>
        <w:t xml:space="preserve">rém ze </w:t>
      </w:r>
      <w:r>
        <w:rPr>
          <w:b/>
        </w:rPr>
        <w:t>sankčních seznamů</w:t>
      </w:r>
      <w:r>
        <w:rPr>
          <w:vertAlign w:val="superscript"/>
        </w:rPr>
        <w:footnoteReference w:id="8"/>
      </w:r>
      <w:r>
        <w:t>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t xml:space="preserve">má </w:t>
      </w:r>
      <w:r>
        <w:rPr>
          <w:b/>
        </w:rPr>
        <w:t>sídlo</w:t>
      </w:r>
      <w:r>
        <w:t xml:space="preserve"> v členském státě Evropské unie (včetně České republiky), v jiném státě tvořícím Evropský hospodářský prostor nebo ve Švýcarské konfederaci,</w:t>
      </w:r>
    </w:p>
    <w:p w:rsidR="0013599F" w:rsidRDefault="002C7CD6">
      <w:pPr>
        <w:numPr>
          <w:ilvl w:val="2"/>
          <w:numId w:val="1"/>
        </w:numPr>
        <w:spacing w:before="0"/>
        <w:jc w:val="both"/>
      </w:pPr>
      <w:bookmarkStart w:id="11" w:name="_9bp97oq8imqh" w:colFirst="0" w:colLast="0"/>
      <w:bookmarkEnd w:id="11"/>
      <w:r>
        <w:t>v případě, že je Podnik odštěpným závodem</w:t>
      </w:r>
      <w:r>
        <w:rPr>
          <w:vertAlign w:val="superscript"/>
        </w:rPr>
        <w:footnoteReference w:id="9"/>
      </w:r>
      <w:r>
        <w:t>, musí mít zřizovatel tohoto odštěpnéh</w:t>
      </w:r>
      <w:r>
        <w:t>o závodu sídlo v členském státě Evropské unie (včetně České republiky), v jiném státě tvořícím Evropský hospodářský prostor nebo ve Švýcarské konfederaci;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r>
        <w:rPr>
          <w:highlight w:val="white"/>
        </w:rPr>
        <w:t xml:space="preserve">má </w:t>
      </w:r>
      <w:r>
        <w:rPr>
          <w:b/>
          <w:highlight w:val="white"/>
        </w:rPr>
        <w:t>zveřejněné účetní závěrky</w:t>
      </w:r>
      <w:r>
        <w:rPr>
          <w:highlight w:val="white"/>
        </w:rPr>
        <w:t xml:space="preserve"> za tři po sobě jdoucí účetní období, která přímo předcházejí roku, v něm</w:t>
      </w:r>
      <w:r>
        <w:rPr>
          <w:highlight w:val="white"/>
        </w:rPr>
        <w:t>ž je o přistoupení podniku rozhod</w:t>
      </w:r>
      <w:r>
        <w:rPr>
          <w:highlight w:val="white"/>
        </w:rPr>
        <w:t xml:space="preserve">ováno, a to </w:t>
      </w:r>
      <w:r>
        <w:rPr>
          <w:highlight w:val="white"/>
        </w:rPr>
        <w:t xml:space="preserve">dle </w:t>
      </w:r>
      <w:r>
        <w:t>povinnost stanovené zákonem o účetnictví,</w:t>
      </w:r>
    </w:p>
    <w:p w:rsidR="0013599F" w:rsidRDefault="002C7CD6">
      <w:pPr>
        <w:numPr>
          <w:ilvl w:val="2"/>
          <w:numId w:val="1"/>
        </w:numPr>
        <w:spacing w:before="0"/>
        <w:jc w:val="both"/>
      </w:pPr>
      <w:bookmarkStart w:id="12" w:name="_e528t9jkdftg" w:colFirst="0" w:colLast="0"/>
      <w:bookmarkEnd w:id="12"/>
      <w:r>
        <w:lastRenderedPageBreak/>
        <w:t>v případě, že Podnik nedisponuje požadovanými účetními závěrkami za tyto roky, jelikož nebyl v té době Podnik založený, prokazuje svou způsobilost těmi účetními zá</w:t>
      </w:r>
      <w:r>
        <w:t>věrkami, které má povinnost zveřejnit od data založení.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bookmarkStart w:id="13" w:name="_bbi5akgg5bki" w:colFirst="0" w:colLast="0"/>
      <w:bookmarkEnd w:id="13"/>
      <w:r>
        <w:t>Rada pro komercializaci rozhodne na základě kontroly a hodnocení Podniku o jeho (ne)zapojení do projektu.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bookmarkStart w:id="14" w:name="_t5rybijbzzb4" w:colFirst="0" w:colLast="0"/>
      <w:bookmarkEnd w:id="14"/>
      <w:r>
        <w:t>V případě přijetí Podniku do projektu, oznámí hlavní příjemce tuto skutečnost TA ČR skrze form</w:t>
      </w:r>
      <w:r>
        <w:t xml:space="preserve">ulář žádosti o změnu v ISTA (i přes to, že se o změnové řízení </w:t>
      </w:r>
      <w:r>
        <w:rPr>
          <w:b/>
        </w:rPr>
        <w:t>nejedná</w:t>
      </w:r>
      <w:r>
        <w:t xml:space="preserve">), a to vždy ve </w:t>
      </w:r>
      <w:r w:rsidRPr="00024147">
        <w:rPr>
          <w:b/>
          <w:color w:val="F03741"/>
        </w:rPr>
        <w:t>sběrných obdobích k 15. 4. a k 15. 9.</w:t>
      </w:r>
      <w:r>
        <w:rPr>
          <w:b/>
          <w:color w:val="FF0000"/>
        </w:rPr>
        <w:t xml:space="preserve"> </w:t>
      </w:r>
      <w:r>
        <w:t>příslušného kalendářního roku. Příjemce doloží: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15" w:name="_6ohlfc8w1cup" w:colFirst="0" w:colLast="0"/>
      <w:bookmarkEnd w:id="15"/>
      <w:r>
        <w:t>identifikační údaje Podniku (IČO, název);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16" w:name="_2xt2s6lmnp8v" w:colFirst="0" w:colLast="0"/>
      <w:bookmarkEnd w:id="16"/>
      <w:r>
        <w:t>Čestné prohlášení k zapojení Podniku do pr</w:t>
      </w:r>
      <w:r>
        <w:t>ojektu (příloha č. 1), podepsané statutárním zástupcem hlavního příjemce;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17" w:name="_2jy5zw8ah476" w:colFirst="0" w:colLast="0"/>
      <w:bookmarkEnd w:id="17"/>
      <w:r>
        <w:t>souhlas Rady pro komercializaci se zapojením Podniku do projektu (příloha č. 2);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18" w:name="_nc0gkoazl5oj" w:colFirst="0" w:colLast="0"/>
      <w:bookmarkEnd w:id="18"/>
      <w:r>
        <w:t>nový finanční plán – položky dle návrhu projektu daného programu a veřejné soutěže, za Podnik uvést v</w:t>
      </w:r>
      <w:r>
        <w:t>ykazování režijních nákladů;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19" w:name="_dhl4ldpu7y98" w:colFirst="0" w:colLast="0"/>
      <w:bookmarkEnd w:id="19"/>
      <w:r>
        <w:t>strukturovaný životopis alespoň jednoho řešitele za Podnik (příloha č. 3);</w:t>
      </w:r>
    </w:p>
    <w:p w:rsidR="0013599F" w:rsidRDefault="002C7CD6">
      <w:pPr>
        <w:numPr>
          <w:ilvl w:val="1"/>
          <w:numId w:val="1"/>
        </w:numPr>
        <w:spacing w:before="0"/>
        <w:jc w:val="both"/>
      </w:pPr>
      <w:bookmarkStart w:id="20" w:name="_8kb9zwifvw6u" w:colFirst="0" w:colLast="0"/>
      <w:bookmarkEnd w:id="20"/>
      <w:r>
        <w:t>informace o velikosti Podniku (malý/střední/velký).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bookmarkStart w:id="21" w:name="_k8ckxxwns343" w:colFirst="0" w:colLast="0"/>
      <w:bookmarkEnd w:id="21"/>
      <w:r>
        <w:t>Po odeslání formuláře žádosti o změnu v ISTA zašle příjemce datovou schránkou TA ČR Potvrzení podání</w:t>
      </w:r>
      <w:r>
        <w:t xml:space="preserve"> žádosti o změnu, v opačném případě nebude přistoupení Podniku považováno za oznámené.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r>
        <w:t>TA ČR zkontroluje úplnost podaného oznámení, a případně vyzve příjemce k doplnění. Nedoplní-li příjemce požadované dokumenty ve stanovené lhůtě, nebude přistoupení Podni</w:t>
      </w:r>
      <w:r>
        <w:t>ku považováno za oznámené.</w:t>
      </w:r>
    </w:p>
    <w:p w:rsidR="0013599F" w:rsidRDefault="002C7CD6">
      <w:pPr>
        <w:numPr>
          <w:ilvl w:val="0"/>
          <w:numId w:val="1"/>
        </w:numPr>
        <w:spacing w:before="0"/>
        <w:jc w:val="both"/>
      </w:pPr>
      <w:r>
        <w:t>Poté, co bude oznámení úplné, zadá TA ČR údaje Podniku do ISTA a zašle příjemci e-mailem oznámení o vzetí na vědomí vč. aktualizovaných Závazných parametrů.</w:t>
      </w:r>
    </w:p>
    <w:p w:rsidR="0013599F" w:rsidRDefault="0013599F">
      <w:pPr>
        <w:spacing w:before="200" w:after="200"/>
        <w:ind w:left="425"/>
        <w:jc w:val="both"/>
        <w:rPr>
          <w:b/>
        </w:rPr>
      </w:pPr>
      <w:bookmarkStart w:id="22" w:name="_yusi47h85fd1" w:colFirst="0" w:colLast="0"/>
      <w:bookmarkEnd w:id="22"/>
    </w:p>
    <w:p w:rsidR="0013599F" w:rsidRDefault="002C7CD6">
      <w:pPr>
        <w:numPr>
          <w:ilvl w:val="0"/>
          <w:numId w:val="3"/>
        </w:numPr>
        <w:spacing w:before="200" w:after="200"/>
        <w:jc w:val="both"/>
        <w:rPr>
          <w:b/>
        </w:rPr>
      </w:pPr>
      <w:bookmarkStart w:id="23" w:name="_wz0gi4n9sopb" w:colFirst="0" w:colLast="0"/>
      <w:bookmarkEnd w:id="23"/>
      <w:r>
        <w:rPr>
          <w:b/>
        </w:rPr>
        <w:t>DALŠÍ PRAVIDLA</w:t>
      </w:r>
    </w:p>
    <w:p w:rsidR="0013599F" w:rsidRDefault="002C7CD6">
      <w:pPr>
        <w:numPr>
          <w:ilvl w:val="0"/>
          <w:numId w:val="7"/>
        </w:numPr>
        <w:jc w:val="both"/>
      </w:pPr>
      <w:bookmarkStart w:id="24" w:name="_pfkfjogdnex0" w:colFirst="0" w:colLast="0"/>
      <w:bookmarkEnd w:id="24"/>
      <w:r>
        <w:t>Náklady Podniku jsou uznatelné ode dne schválení jeho přistoupení ze strany Rady pro komercializaci, a to pod podmínkou, že dojde k řádnému oznámení TA ČR. Nedojde-li k oznámení o zapojení Podniku TA ČR, hledí se na Podnik jako by se dalším účastníkem proj</w:t>
      </w:r>
      <w:r>
        <w:t xml:space="preserve">ektu nestal. </w:t>
      </w:r>
    </w:p>
    <w:p w:rsidR="0013599F" w:rsidRDefault="002C7CD6">
      <w:pPr>
        <w:numPr>
          <w:ilvl w:val="0"/>
          <w:numId w:val="7"/>
        </w:numPr>
        <w:spacing w:before="0"/>
        <w:jc w:val="both"/>
      </w:pPr>
      <w:bookmarkStart w:id="25" w:name="_a2g7oiqu6ovm" w:colFirst="0" w:colLast="0"/>
      <w:bookmarkEnd w:id="25"/>
      <w:r>
        <w:t>Zapojení Podniku je potřeba oznámit nejpozději ve druhém sběrném období kalendářního roku, v němž má být Podnik zapojen do řešení dílčího projektu. V případě pozdějšího oznámení se Podnik bude moct zapojit do řešení (a vykazovat náklady) až o</w:t>
      </w:r>
      <w:r>
        <w:t>d následujícího kalendářního roku.</w:t>
      </w:r>
    </w:p>
    <w:p w:rsidR="0013599F" w:rsidRDefault="00F41D93">
      <w:pPr>
        <w:numPr>
          <w:ilvl w:val="1"/>
          <w:numId w:val="7"/>
        </w:numPr>
        <w:spacing w:before="0"/>
        <w:jc w:val="both"/>
      </w:pPr>
      <w:bookmarkStart w:id="26" w:name="_rq3dwivrm07u" w:colFirst="0" w:colLast="0"/>
      <w:bookmarkEnd w:id="26"/>
      <w:r>
        <w:t>Např.</w:t>
      </w:r>
      <w:r w:rsidR="002C7CD6">
        <w:t xml:space="preserve">: Má-li se Podnik zapojit do řešení v roce 2026 (a mj. bude v roce 2026 vykazovat náklady), je potřeba jeho zapojení oznámit TA ČR nejpozději k 15. 9. 2026. </w:t>
      </w:r>
    </w:p>
    <w:p w:rsidR="0013599F" w:rsidRDefault="002C7CD6">
      <w:pPr>
        <w:numPr>
          <w:ilvl w:val="0"/>
          <w:numId w:val="7"/>
        </w:numPr>
        <w:spacing w:before="0"/>
        <w:jc w:val="both"/>
      </w:pPr>
      <w:bookmarkStart w:id="27" w:name="_rj8wmvnuqpu7" w:colFirst="0" w:colLast="0"/>
      <w:bookmarkEnd w:id="27"/>
      <w:r>
        <w:lastRenderedPageBreak/>
        <w:t xml:space="preserve">V posledním roce řešení je potřeba zapojení Podniku oznámit </w:t>
      </w:r>
      <w:r>
        <w:t xml:space="preserve">nejpozději v tom sběrném období, které předchází konci doby řešení projektu. </w:t>
      </w:r>
    </w:p>
    <w:p w:rsidR="0013599F" w:rsidRDefault="00F41D93">
      <w:pPr>
        <w:numPr>
          <w:ilvl w:val="1"/>
          <w:numId w:val="7"/>
        </w:numPr>
        <w:spacing w:before="0"/>
        <w:jc w:val="both"/>
      </w:pPr>
      <w:bookmarkStart w:id="28" w:name="_g5bdo8ey73g9" w:colFirst="0" w:colLast="0"/>
      <w:bookmarkEnd w:id="28"/>
      <w:r>
        <w:t>Např.</w:t>
      </w:r>
      <w:r w:rsidR="002C7CD6">
        <w:t>: Končí-li projekt 30. 6. 2027, je potřeba zapojení Podniku oznámit nejpozději k 15.</w:t>
      </w:r>
      <w:r w:rsidR="006D5FA0">
        <w:t> </w:t>
      </w:r>
      <w:r w:rsidR="002C7CD6">
        <w:t>4. 2027.</w:t>
      </w:r>
      <w:r w:rsidR="002C7CD6">
        <w:br w:type="page"/>
      </w:r>
    </w:p>
    <w:p w:rsidR="0013599F" w:rsidRDefault="0013599F">
      <w:pPr>
        <w:ind w:left="1440"/>
        <w:jc w:val="both"/>
      </w:pPr>
      <w:bookmarkStart w:id="29" w:name="_i71l381m4cef" w:colFirst="0" w:colLast="0"/>
      <w:bookmarkEnd w:id="29"/>
    </w:p>
    <w:p w:rsidR="0013599F" w:rsidRDefault="002C7C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Příloha č. 1</w:t>
      </w:r>
    </w:p>
    <w:p w:rsidR="0013599F" w:rsidRDefault="002C7C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Čestné prohlášení k zapojení Podniku do projektu</w:t>
      </w:r>
    </w:p>
    <w:p w:rsidR="0013599F" w:rsidRDefault="0013599F">
      <w:pPr>
        <w:jc w:val="center"/>
        <w:rPr>
          <w:b/>
          <w:sz w:val="22"/>
          <w:szCs w:val="22"/>
        </w:rPr>
      </w:pPr>
      <w:bookmarkStart w:id="30" w:name="_hmz0kudr9p46" w:colFirst="0" w:colLast="0"/>
      <w:bookmarkEnd w:id="30"/>
    </w:p>
    <w:p w:rsidR="0013599F" w:rsidRDefault="002C7CD6">
      <w:pPr>
        <w:jc w:val="both"/>
      </w:pPr>
      <w:r>
        <w:t>Kód projektu:</w:t>
      </w:r>
    </w:p>
    <w:p w:rsidR="0013599F" w:rsidRDefault="002C7CD6">
      <w:pPr>
        <w:jc w:val="both"/>
      </w:pPr>
      <w:r>
        <w:t>Název projektu:</w:t>
      </w:r>
    </w:p>
    <w:p w:rsidR="0013599F" w:rsidRDefault="0013599F">
      <w:pPr>
        <w:jc w:val="both"/>
      </w:pPr>
      <w:bookmarkStart w:id="31" w:name="_4wp3hygxe05f" w:colFirst="0" w:colLast="0"/>
      <w:bookmarkEnd w:id="31"/>
    </w:p>
    <w:p w:rsidR="0013599F" w:rsidRDefault="002C7CD6">
      <w:pPr>
        <w:jc w:val="both"/>
        <w:rPr>
          <w:b/>
        </w:rPr>
      </w:pPr>
      <w:r>
        <w:rPr>
          <w:b/>
        </w:rPr>
        <w:t>I.</w:t>
      </w:r>
      <w:r>
        <w:rPr>
          <w:b/>
        </w:rPr>
        <w:tab/>
        <w:t>Nový další účastník projektu („Podnik”)</w:t>
      </w:r>
    </w:p>
    <w:p w:rsidR="0013599F" w:rsidRDefault="002C7CD6">
      <w:pPr>
        <w:jc w:val="both"/>
      </w:pPr>
      <w:r>
        <w:t>Název Podniku:</w:t>
      </w:r>
    </w:p>
    <w:p w:rsidR="0013599F" w:rsidRDefault="002C7CD6">
      <w:pPr>
        <w:jc w:val="both"/>
      </w:pPr>
      <w:r>
        <w:t xml:space="preserve">IČO:  </w:t>
      </w:r>
    </w:p>
    <w:p w:rsidR="0013599F" w:rsidRDefault="002C7CD6">
      <w:pPr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Čestné prohlášení </w:t>
      </w:r>
    </w:p>
    <w:p w:rsidR="0013599F" w:rsidRDefault="002C7CD6">
      <w:pPr>
        <w:jc w:val="both"/>
      </w:pPr>
      <w:r>
        <w:t>Čestně prohlašuji, že Podnik:</w:t>
      </w:r>
    </w:p>
    <w:p w:rsidR="0013599F" w:rsidRDefault="002C7CD6">
      <w:pPr>
        <w:numPr>
          <w:ilvl w:val="0"/>
          <w:numId w:val="6"/>
        </w:numPr>
        <w:jc w:val="both"/>
      </w:pPr>
      <w:bookmarkStart w:id="32" w:name="_9pjs5paywy36" w:colFirst="0" w:colLast="0"/>
      <w:bookmarkEnd w:id="32"/>
      <w:r>
        <w:t>má odborné předpoklady pro řešení projektu;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3" w:name="_51eanmiolnyx" w:colFirst="0" w:colLast="0"/>
      <w:bookmarkEnd w:id="33"/>
      <w:r>
        <w:t>má příslušné oprávnění k činnosti, je-li vyžadováno zvláštním právním předpis</w:t>
      </w:r>
      <w:r>
        <w:t>em;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4" w:name="_5iou3tukq287" w:colFirst="0" w:colLast="0"/>
      <w:bookmarkEnd w:id="34"/>
      <w:r>
        <w:t>není v likvidaci a jeho úpadek nebo hrozící úpadek není řešen v insolvenčním řízení;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5" w:name="_8jipn0rpnuha" w:colFirst="0" w:colLast="0"/>
      <w:bookmarkEnd w:id="35"/>
      <w:r>
        <w:t>má vypořádány splatné závazky ve vztahu ke státnímu rozpočtu nebo rozpočtu územního samosprávného celku a další splatné závazky vůči státu, státnímu fondu, zdravotní p</w:t>
      </w:r>
      <w:r>
        <w:t>ojišťovně nebo k České správě sociálního zabezpečení;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6" w:name="_wqkkwuwytr1q" w:colFirst="0" w:colLast="0"/>
      <w:bookmarkEnd w:id="36"/>
      <w:r>
        <w:t>je-li fyzickou osobou, nebyl pravomocně odsouzen pro trestný čin, jehož skutková podstata souvisí s předmětem podnikání uchazeče, nebo pro trestný čin hospodářský nebo trestný čin proti majetku, nebo se</w:t>
      </w:r>
      <w:r>
        <w:t xml:space="preserve"> na něj tak podle zákona hledí;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7" w:name="_q53cufotz1sq" w:colFirst="0" w:colLast="0"/>
      <w:bookmarkEnd w:id="37"/>
      <w:r>
        <w:t xml:space="preserve">je-li právnickou osobou, nebyl pravomocně odsouzen pro trestný čin, jehož skutková podstata souvisí s předmětem podnikání (činnosti) nebo pro trestný čin hospodářský, nebo trestný čin proti majetku, nebo se na něj tak podle zákona hledí, a platí tak i pro </w:t>
      </w:r>
      <w:r>
        <w:t>osoby vykonávající funkci jeho statutárního orgánu;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8" w:name="_5zhvcp4mvzym" w:colFirst="0" w:colLast="0"/>
      <w:bookmarkEnd w:id="38"/>
      <w:r>
        <w:t xml:space="preserve">nebyl v posledních třech letech disciplinárně potrestán podle zvláštních právních předpisů upravujících výkon odborné činnosti, pokud tato činnost souvisí s předmětem veřejné soutěže; 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39" w:name="_fp6y0d46mv1k" w:colFirst="0" w:colLast="0"/>
      <w:bookmarkEnd w:id="39"/>
      <w:r>
        <w:t>není v pracovněpráv</w:t>
      </w:r>
      <w:r>
        <w:t>ním ani jiném obdobném poměru k TA ČR podle § 23 odst. 2 zákona č. 130/2002 Sb., o podpoře výzkumu, experimentálního vývoje a inovací z veřejných prostředků;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0" w:name="_kt9a3oc4flxf" w:colFirst="0" w:colLast="0"/>
      <w:bookmarkEnd w:id="40"/>
      <w:r>
        <w:t>je právnickou nebo fyzickou osobou, která není podle přímo použitelného předpisu Evropské unie pod</w:t>
      </w:r>
      <w:r>
        <w:t>nikem v obtížích;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1" w:name="_exyj7fx5pxi" w:colFirst="0" w:colLast="0"/>
      <w:bookmarkEnd w:id="41"/>
      <w:r>
        <w:t>vůči němuž nebyl v návaznosti na rozhodnutí Evropské komise vystaven inkasní příkaz podle přímo použitelného předpisu Evropské unie;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2" w:name="_ive51kwqg9r5" w:colFirst="0" w:colLast="0"/>
      <w:bookmarkEnd w:id="42"/>
      <w:r>
        <w:lastRenderedPageBreak/>
        <w:t>má v Evidenci skutečných majitelů zapsané své skutečné majitele, pokud mu tak zákon ukládá, a</w:t>
      </w:r>
      <w:r w:rsidR="006D5FA0">
        <w:t> </w:t>
      </w:r>
      <w:r>
        <w:t>to nejpozdě</w:t>
      </w:r>
      <w:r>
        <w:t>ji ke dni schválení jeho přistoupení Radou pro komercializaci;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3" w:name="_a5qui6r7gok5" w:colFirst="0" w:colLast="0"/>
      <w:bookmarkEnd w:id="43"/>
      <w:r>
        <w:t>není z 25 % nebo více vlastněn veřejným funkcionářem a nedochází tak ke střetu zájmů podle § 4 zákona č. 159/2006 Sb., o střetu zájmů;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4" w:name="_cuson9rs3cp4" w:colFirst="0" w:colLast="0"/>
      <w:bookmarkEnd w:id="44"/>
      <w:r>
        <w:t>není pod (potenciálním) vlivem Ruské federace;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5" w:name="_90nxjs65012t" w:colFirst="0" w:colLast="0"/>
      <w:bookmarkEnd w:id="45"/>
      <w:r>
        <w:t>nemá skuteč</w:t>
      </w:r>
      <w:r>
        <w:t>né majitele, kteří by byli uvedeni na některém z mezinárodních ani národních sankčních seznamů;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r>
        <w:t>má sídlo v členském státě Evropské unie (včetně České republiky), v jiném státě tvořícím Evropský hospodářský prostor nebo ve Švýcarské konfederaci, a je-li odš</w:t>
      </w:r>
      <w:r>
        <w:t>těpným závodem dle § 503 odst. 2 zákona č. 89/2012 Sb., občanský zákoník, má zřizovatel tohoto odštěpného závodu sídlo v</w:t>
      </w:r>
      <w:r w:rsidR="006D5FA0">
        <w:t> </w:t>
      </w:r>
      <w:r>
        <w:t>členském státě Evropské unie (včetně České republiky), v jiném státě tvořícím Evropský hospodářský prostor nebo ve Švýcarské konfederac</w:t>
      </w:r>
      <w:r>
        <w:t>i;</w:t>
      </w:r>
    </w:p>
    <w:p w:rsidR="0013599F" w:rsidRDefault="002C7CD6">
      <w:pPr>
        <w:numPr>
          <w:ilvl w:val="0"/>
          <w:numId w:val="6"/>
        </w:numPr>
        <w:spacing w:before="0"/>
        <w:jc w:val="both"/>
      </w:pPr>
      <w:bookmarkStart w:id="46" w:name="_v8bubjc4y7yx" w:colFirst="0" w:colLast="0"/>
      <w:bookmarkEnd w:id="46"/>
      <w:r>
        <w:rPr>
          <w:highlight w:val="white"/>
        </w:rPr>
        <w:t>má zveřejněné účetní závěrky za tři po sobě jdoucí účetní období, která přímo předcházejí roku, v němž je o přistoupení podniku rozhod</w:t>
      </w:r>
      <w:r>
        <w:rPr>
          <w:highlight w:val="white"/>
        </w:rPr>
        <w:t xml:space="preserve">ováno, a to dle </w:t>
      </w:r>
      <w:r>
        <w:t>povinnost stanovené zákonem č. 563/1991 Sb., o účetnictví. V případě, že Podnik nedisponuje požadovaný</w:t>
      </w:r>
      <w:r>
        <w:t>mi účetními závěrkami za tyto roky, jelikož nebyl v té době Podnik založený, prokazuje svou způsobilost těmi účetními závěrkami, které má povinnost zveřejnit od data založení.</w:t>
      </w:r>
    </w:p>
    <w:p w:rsidR="0013599F" w:rsidRDefault="0013599F">
      <w:pPr>
        <w:widowControl w:val="0"/>
        <w:tabs>
          <w:tab w:val="left" w:pos="5308"/>
        </w:tabs>
        <w:spacing w:before="0" w:after="600"/>
        <w:jc w:val="both"/>
      </w:pPr>
    </w:p>
    <w:p w:rsidR="00952494" w:rsidRDefault="00952494" w:rsidP="00952494">
      <w:pPr>
        <w:pStyle w:val="Normlnweb"/>
        <w:spacing w:before="0" w:beforeAutospacing="0" w:after="0" w:afterAutospacing="0"/>
        <w:jc w:val="both"/>
      </w:pPr>
      <w:r>
        <w:rPr>
          <w:rFonts w:ascii="Open Sans" w:hAnsi="Open Sans" w:cs="Open Sans"/>
          <w:color w:val="000000"/>
          <w:sz w:val="20"/>
          <w:szCs w:val="20"/>
        </w:rPr>
        <w:t>V                            dne                                                                        ……………………………………………………….</w:t>
      </w:r>
    </w:p>
    <w:p w:rsidR="00952494" w:rsidRDefault="00952494" w:rsidP="00952494">
      <w:pPr>
        <w:pStyle w:val="Normlnweb"/>
        <w:spacing w:before="0" w:beforeAutospacing="0" w:after="0" w:afterAutospacing="0"/>
        <w:jc w:val="center"/>
      </w:pPr>
      <w:r>
        <w:rPr>
          <w:rFonts w:ascii="Open Sans" w:hAnsi="Open Sans" w:cs="Open San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podpis statutárního zástupce </w:t>
      </w:r>
    </w:p>
    <w:p w:rsidR="00952494" w:rsidRDefault="00952494" w:rsidP="00952494">
      <w:pPr>
        <w:pStyle w:val="Normlnweb"/>
        <w:spacing w:before="0" w:beforeAutospacing="0" w:after="0" w:afterAutospacing="0"/>
        <w:jc w:val="center"/>
      </w:pPr>
      <w:r>
        <w:rPr>
          <w:rFonts w:ascii="Open Sans" w:hAnsi="Open Sans" w:cs="Open San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hlavního příjemce</w:t>
      </w:r>
    </w:p>
    <w:p w:rsidR="0013599F" w:rsidRDefault="0013599F">
      <w:pPr>
        <w:spacing w:line="360" w:lineRule="auto"/>
        <w:jc w:val="both"/>
      </w:pPr>
    </w:p>
    <w:p w:rsidR="0013599F" w:rsidRDefault="0013599F">
      <w:pPr>
        <w:jc w:val="both"/>
        <w:rPr>
          <w:sz w:val="22"/>
          <w:szCs w:val="22"/>
        </w:rPr>
      </w:pPr>
      <w:bookmarkStart w:id="47" w:name="_xxzucgrpkhbs" w:colFirst="0" w:colLast="0"/>
      <w:bookmarkEnd w:id="47"/>
    </w:p>
    <w:p w:rsidR="0013599F" w:rsidRDefault="002C7CD6">
      <w:pPr>
        <w:jc w:val="both"/>
        <w:rPr>
          <w:b/>
          <w:sz w:val="22"/>
          <w:szCs w:val="22"/>
        </w:rPr>
      </w:pPr>
      <w:bookmarkStart w:id="48" w:name="_maadqjcmdr5w" w:colFirst="0" w:colLast="0"/>
      <w:bookmarkEnd w:id="48"/>
      <w:r>
        <w:br w:type="page"/>
      </w:r>
    </w:p>
    <w:p w:rsidR="0013599F" w:rsidRDefault="002C7C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2</w:t>
      </w:r>
    </w:p>
    <w:p w:rsidR="0013599F" w:rsidRDefault="002C7C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Souhlas Rady pro komercializaci se zapojením Podniku do projektu</w:t>
      </w:r>
    </w:p>
    <w:p w:rsidR="0013599F" w:rsidRDefault="0013599F">
      <w:pPr>
        <w:jc w:val="center"/>
        <w:rPr>
          <w:b/>
          <w:sz w:val="22"/>
          <w:szCs w:val="22"/>
        </w:rPr>
      </w:pPr>
      <w:bookmarkStart w:id="49" w:name="_ca0mj5zcuzen" w:colFirst="0" w:colLast="0"/>
      <w:bookmarkEnd w:id="49"/>
    </w:p>
    <w:p w:rsidR="0013599F" w:rsidRDefault="002C7CD6">
      <w:pPr>
        <w:numPr>
          <w:ilvl w:val="0"/>
          <w:numId w:val="8"/>
        </w:numPr>
        <w:spacing w:before="0"/>
        <w:jc w:val="both"/>
        <w:rPr>
          <w:b/>
        </w:rPr>
      </w:pPr>
      <w:r>
        <w:rPr>
          <w:b/>
        </w:rPr>
        <w:t>Kód projektu:</w:t>
      </w:r>
    </w:p>
    <w:p w:rsidR="0013599F" w:rsidRDefault="002C7CD6">
      <w:pPr>
        <w:numPr>
          <w:ilvl w:val="0"/>
          <w:numId w:val="8"/>
        </w:numPr>
        <w:spacing w:before="0"/>
        <w:jc w:val="both"/>
        <w:rPr>
          <w:b/>
        </w:rPr>
      </w:pPr>
      <w:r>
        <w:rPr>
          <w:b/>
        </w:rPr>
        <w:t>Název projektu:</w:t>
      </w:r>
    </w:p>
    <w:p w:rsidR="0013599F" w:rsidRDefault="002C7CD6">
      <w:pPr>
        <w:numPr>
          <w:ilvl w:val="0"/>
          <w:numId w:val="8"/>
        </w:numPr>
        <w:spacing w:before="0"/>
        <w:jc w:val="both"/>
        <w:rPr>
          <w:b/>
        </w:rPr>
      </w:pPr>
      <w:r>
        <w:rPr>
          <w:b/>
        </w:rPr>
        <w:t>Datum zasedání Rady pro komercializaci:</w:t>
      </w:r>
    </w:p>
    <w:p w:rsidR="0013599F" w:rsidRDefault="002C7CD6">
      <w:pPr>
        <w:numPr>
          <w:ilvl w:val="0"/>
          <w:numId w:val="8"/>
        </w:numPr>
        <w:spacing w:before="0"/>
        <w:jc w:val="both"/>
        <w:rPr>
          <w:rFonts w:ascii="Calibri" w:eastAsia="Calibri" w:hAnsi="Calibri" w:cs="Calibri"/>
          <w:b/>
        </w:rPr>
      </w:pPr>
      <w:r>
        <w:rPr>
          <w:b/>
        </w:rPr>
        <w:t xml:space="preserve">Forma zasedání: </w:t>
      </w:r>
      <w:sdt>
        <w:sdtPr>
          <w:alias w:val="Konfigurace 2"/>
          <w:id w:val="521325876"/>
          <w:dropDownList>
            <w:listItem w:displayText="vyberte jednu z možností" w:value="vyberte jednu z možností"/>
            <w:listItem w:displayText="prezenční" w:value="prezenční"/>
            <w:listItem w:displayText="per rollam" w:value="per rollam"/>
          </w:dropDownList>
        </w:sdtPr>
        <w:sdtEndPr/>
        <w:sdtContent>
          <w:r>
            <w:rPr>
              <w:color w:val="000000"/>
              <w:shd w:val="clear" w:color="auto" w:fill="E8EAED"/>
            </w:rPr>
            <w:t>vyberte jednu z možností</w:t>
          </w:r>
        </w:sdtContent>
      </w:sdt>
    </w:p>
    <w:p w:rsidR="0013599F" w:rsidRDefault="0013599F">
      <w:pPr>
        <w:spacing w:before="0"/>
        <w:jc w:val="both"/>
        <w:rPr>
          <w:highlight w:val="yellow"/>
        </w:rPr>
      </w:pPr>
    </w:p>
    <w:p w:rsidR="0013599F" w:rsidRDefault="002C7CD6">
      <w:pPr>
        <w:numPr>
          <w:ilvl w:val="0"/>
          <w:numId w:val="4"/>
        </w:numPr>
        <w:spacing w:before="0"/>
        <w:jc w:val="both"/>
        <w:rPr>
          <w:rFonts w:ascii="Calibri" w:eastAsia="Calibri" w:hAnsi="Calibri" w:cs="Calibri"/>
          <w:b/>
        </w:rPr>
      </w:pPr>
      <w:r>
        <w:rPr>
          <w:b/>
        </w:rPr>
        <w:t xml:space="preserve">Věc: </w:t>
      </w:r>
      <w:r>
        <w:t>zapojení Podniku do projektu</w:t>
      </w:r>
    </w:p>
    <w:p w:rsidR="0013599F" w:rsidRDefault="002C7CD6">
      <w:pPr>
        <w:numPr>
          <w:ilvl w:val="0"/>
          <w:numId w:val="4"/>
        </w:numPr>
        <w:spacing w:before="0"/>
        <w:jc w:val="both"/>
        <w:rPr>
          <w:rFonts w:ascii="Calibri" w:eastAsia="Calibri" w:hAnsi="Calibri" w:cs="Calibri"/>
        </w:rPr>
      </w:pPr>
      <w:r>
        <w:rPr>
          <w:b/>
        </w:rPr>
        <w:t>Identifikace:</w:t>
      </w:r>
      <w:r>
        <w:t xml:space="preserve"> </w:t>
      </w:r>
      <w:r>
        <w:rPr>
          <w:color w:val="666666"/>
        </w:rPr>
        <w:t>název Podniku, IČO Podniku</w:t>
      </w:r>
    </w:p>
    <w:p w:rsidR="0013599F" w:rsidRDefault="0013599F">
      <w:pPr>
        <w:spacing w:before="0"/>
        <w:jc w:val="both"/>
      </w:pPr>
    </w:p>
    <w:p w:rsidR="0013599F" w:rsidRDefault="0013599F">
      <w:pPr>
        <w:spacing w:before="0"/>
        <w:jc w:val="both"/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13599F">
        <w:trPr>
          <w:trHeight w:val="420"/>
        </w:trPr>
        <w:tc>
          <w:tcPr>
            <w:tcW w:w="96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Přehled hlasování Rady pro komercializaci</w:t>
            </w:r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Hlasování</w:t>
            </w:r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-88271807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1293835578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818707178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370738670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-61187954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-1974053769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13599F">
            <w:pPr>
              <w:widowControl w:val="0"/>
              <w:spacing w:before="0" w:line="240" w:lineRule="auto"/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color w:val="666666"/>
              </w:rPr>
            </w:pPr>
            <w:sdt>
              <w:sdtPr>
                <w:alias w:val="Konfigurace 3"/>
                <w:id w:val="-1553885116"/>
                <w:dropDownList>
                  <w:listItem w:displayText="vyberte jednu z možností" w:value="vyberte jednu z možností"/>
                  <w:listItem w:displayText="PRO" w:value="PRO"/>
                  <w:listItem w:displayText="PROTI" w:value="PROTI"/>
                  <w:listItem w:displayText="ZDRŽEL SE" w:value="ZDRŽEL SE"/>
                </w:dropDownList>
              </w:sdtPr>
              <w:sdtEndPr/>
              <w:sdtContent>
                <w:r>
                  <w:t>vyberte jednu z možností</w:t>
                </w:r>
              </w:sdtContent>
            </w:sdt>
          </w:p>
        </w:tc>
      </w:tr>
      <w:tr w:rsidR="0013599F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VÝSLEDEK: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9F" w:rsidRDefault="002C7CD6">
            <w:pPr>
              <w:widowControl w:val="0"/>
              <w:spacing w:before="0" w:line="240" w:lineRule="auto"/>
              <w:jc w:val="center"/>
              <w:rPr>
                <w:b/>
                <w:color w:val="666666"/>
              </w:rPr>
            </w:pPr>
            <w:sdt>
              <w:sdtPr>
                <w:alias w:val="Konfigurace 4"/>
                <w:id w:val="1592252645"/>
                <w:dropDownList>
                  <w:listItem w:displayText="vyberte jednu z možností" w:value="vyberte jednu z možností"/>
                  <w:listItem w:displayText="SCHVÁLENO" w:value="SCHVÁLENO"/>
                  <w:listItem w:displayText="NESCHVÁLENO" w:value="NESCHVÁLENO"/>
                </w:dropDownList>
              </w:sdtPr>
              <w:sdtEndPr/>
              <w:sdtContent>
                <w:r>
                  <w:rPr>
                    <w:b/>
                  </w:rPr>
                  <w:t>vyberte jednu z možností</w:t>
                </w:r>
              </w:sdtContent>
            </w:sdt>
          </w:p>
        </w:tc>
      </w:tr>
    </w:tbl>
    <w:p w:rsidR="0013599F" w:rsidRDefault="0013599F">
      <w:pPr>
        <w:spacing w:before="0"/>
        <w:jc w:val="both"/>
      </w:pPr>
    </w:p>
    <w:p w:rsidR="0013599F" w:rsidRDefault="0013599F">
      <w:pPr>
        <w:spacing w:before="0"/>
        <w:jc w:val="both"/>
      </w:pPr>
    </w:p>
    <w:p w:rsidR="00952494" w:rsidRDefault="00952494" w:rsidP="00952494">
      <w:pPr>
        <w:pStyle w:val="Normlnweb"/>
        <w:spacing w:before="0" w:beforeAutospacing="0" w:after="0" w:afterAutospacing="0"/>
        <w:jc w:val="both"/>
      </w:pPr>
      <w:r>
        <w:rPr>
          <w:rFonts w:ascii="Open Sans" w:hAnsi="Open Sans" w:cs="Open Sans"/>
          <w:color w:val="000000"/>
          <w:sz w:val="20"/>
          <w:szCs w:val="20"/>
        </w:rPr>
        <w:t>V                            dne                                                                        ……………………………………………………….</w:t>
      </w:r>
    </w:p>
    <w:p w:rsidR="00952494" w:rsidRDefault="00952494" w:rsidP="00952494">
      <w:pPr>
        <w:pStyle w:val="Normlnweb"/>
        <w:spacing w:before="0" w:beforeAutospacing="0" w:after="0" w:afterAutospacing="0"/>
        <w:jc w:val="center"/>
      </w:pPr>
      <w:r>
        <w:rPr>
          <w:rFonts w:ascii="Open Sans" w:hAnsi="Open Sans" w:cs="Open San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podpis statutárního zástupce </w:t>
      </w:r>
    </w:p>
    <w:p w:rsidR="00952494" w:rsidRDefault="00952494" w:rsidP="00952494">
      <w:pPr>
        <w:pStyle w:val="Normlnweb"/>
        <w:spacing w:before="0" w:beforeAutospacing="0" w:after="0" w:afterAutospacing="0"/>
        <w:jc w:val="center"/>
      </w:pPr>
      <w:r>
        <w:rPr>
          <w:rFonts w:ascii="Open Sans" w:hAnsi="Open Sans" w:cs="Open San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hlavního příjemce</w:t>
      </w:r>
    </w:p>
    <w:p w:rsidR="00952494" w:rsidRDefault="00952494">
      <w:pPr>
        <w:spacing w:before="0"/>
        <w:jc w:val="both"/>
      </w:pPr>
    </w:p>
    <w:p w:rsidR="00952494" w:rsidRDefault="00952494">
      <w:pPr>
        <w:spacing w:before="0"/>
        <w:jc w:val="both"/>
      </w:pPr>
    </w:p>
    <w:p w:rsidR="0013599F" w:rsidRDefault="0013599F">
      <w:pPr>
        <w:spacing w:before="0"/>
        <w:jc w:val="both"/>
        <w:rPr>
          <w:highlight w:val="yellow"/>
        </w:rPr>
      </w:pPr>
    </w:p>
    <w:p w:rsidR="0013599F" w:rsidRDefault="002C7CD6">
      <w:pPr>
        <w:jc w:val="center"/>
        <w:rPr>
          <w:b/>
          <w:sz w:val="22"/>
          <w:szCs w:val="22"/>
        </w:rPr>
      </w:pPr>
      <w:bookmarkStart w:id="50" w:name="_f00ydowebik7" w:colFirst="0" w:colLast="0"/>
      <w:bookmarkEnd w:id="50"/>
      <w:r>
        <w:rPr>
          <w:b/>
          <w:sz w:val="22"/>
          <w:szCs w:val="22"/>
        </w:rPr>
        <w:lastRenderedPageBreak/>
        <w:t>Příloha č. 3</w:t>
      </w:r>
    </w:p>
    <w:p w:rsidR="0013599F" w:rsidRDefault="002C7CD6">
      <w:pPr>
        <w:spacing w:after="200"/>
        <w:jc w:val="center"/>
        <w:rPr>
          <w:rFonts w:ascii="Titillium Web" w:eastAsia="Titillium Web" w:hAnsi="Titillium Web" w:cs="Titillium Web"/>
          <w:b/>
        </w:rPr>
      </w:pPr>
      <w:bookmarkStart w:id="51" w:name="_kos4letzsbqv" w:colFirst="0" w:colLast="0"/>
      <w:bookmarkEnd w:id="51"/>
      <w:r>
        <w:rPr>
          <w:b/>
          <w:sz w:val="22"/>
          <w:szCs w:val="22"/>
        </w:rPr>
        <w:t>Strukturovaný životopis řešitele</w:t>
      </w:r>
    </w:p>
    <w:tbl>
      <w:tblPr>
        <w:tblStyle w:val="a1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Role</w:t>
            </w:r>
          </w:p>
        </w:tc>
        <w:tc>
          <w:tcPr>
            <w:tcW w:w="5528" w:type="dxa"/>
          </w:tcPr>
          <w:p w:rsidR="0013599F" w:rsidRDefault="002C7CD6">
            <w:pPr>
              <w:spacing w:before="40" w:after="40" w:line="240" w:lineRule="auto"/>
            </w:pPr>
            <w:sdt>
              <w:sdtPr>
                <w:alias w:val="Konfigurace 1"/>
                <w:id w:val="172537558"/>
                <w:dropDownList>
                  <w:listItem w:displayText="Vyberte jednu z možností" w:value="Vyberte jednu z možností"/>
                  <w:listItem w:displayText="Řešitel" w:value="Řešitel"/>
                  <w:listItem w:displayText="Člen řešitelského týmu" w:value="Člen řešitelského týmu"/>
                </w:dropDownList>
              </w:sdtPr>
              <w:sdtEndPr/>
              <w:sdtContent>
                <w:r>
                  <w:rPr>
                    <w:color w:val="000000"/>
                    <w:shd w:val="clear" w:color="auto" w:fill="E8EAED"/>
                  </w:rPr>
                  <w:t>Vyberte jednu z možností</w:t>
                </w:r>
              </w:sdtContent>
            </w:sdt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IČO dalšího účastníka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Název dalšího účastníka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Vykonávaná funkce v organizaci</w:t>
            </w:r>
          </w:p>
          <w:p w:rsidR="0013599F" w:rsidRDefault="002C7CD6">
            <w:pPr>
              <w:spacing w:before="40" w:after="40" w:line="240" w:lineRule="auto"/>
            </w:pPr>
            <w:r>
              <w:t>(max. 30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Tituly před jménem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Jméno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Příjmení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Tituly za jménem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Státní příslušnost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Rodné číslo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Datum narození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Telefon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Mobilní telefon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E-mail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Stěžejní vykonávané činnosti při řešení dílčího projektu</w:t>
            </w:r>
          </w:p>
          <w:p w:rsidR="0013599F" w:rsidRDefault="002C7CD6">
            <w:pPr>
              <w:spacing w:before="40" w:after="40" w:line="240" w:lineRule="auto"/>
            </w:pPr>
            <w:r>
              <w:t>(max. 500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  <w:rPr>
                <w:color w:val="FF0000"/>
              </w:rPr>
            </w:pPr>
            <w:r>
              <w:t>Počet úvazků při řešení dílčího projektu v jednotlivých letech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</w:tbl>
    <w:p w:rsidR="0013599F" w:rsidRDefault="002C7CD6">
      <w:pPr>
        <w:spacing w:before="240"/>
        <w:jc w:val="both"/>
      </w:pPr>
      <w:r>
        <w:rPr>
          <w:b/>
        </w:rPr>
        <w:t>Odborný životopis</w:t>
      </w:r>
    </w:p>
    <w:tbl>
      <w:tblPr>
        <w:tblStyle w:val="a2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 xml:space="preserve">Vzdělání </w:t>
            </w:r>
          </w:p>
          <w:p w:rsidR="0013599F" w:rsidRDefault="002C7CD6">
            <w:pPr>
              <w:spacing w:before="40" w:after="40" w:line="240" w:lineRule="auto"/>
            </w:pPr>
            <w:r>
              <w:t>(max. 500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 xml:space="preserve">Relevantní praxe </w:t>
            </w:r>
          </w:p>
          <w:p w:rsidR="0013599F" w:rsidRDefault="002C7CD6">
            <w:pPr>
              <w:spacing w:before="40" w:after="40" w:line="240" w:lineRule="auto"/>
            </w:pPr>
            <w:r>
              <w:t>(max. 500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</w:pPr>
            <w:r>
              <w:t>Seznam nejvýznamnějších projektů (max. 500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  <w:tr w:rsidR="0013599F">
        <w:tc>
          <w:tcPr>
            <w:tcW w:w="4111" w:type="dxa"/>
          </w:tcPr>
          <w:p w:rsidR="0013599F" w:rsidRDefault="002C7CD6">
            <w:pPr>
              <w:spacing w:before="40" w:after="40" w:line="240" w:lineRule="auto"/>
              <w:rPr>
                <w:strike/>
              </w:rPr>
            </w:pPr>
            <w:bookmarkStart w:id="52" w:name="_1fob9te" w:colFirst="0" w:colLast="0"/>
            <w:bookmarkEnd w:id="52"/>
            <w:r>
              <w:t>Seznam nejvýznamnějších výsledků</w:t>
            </w:r>
            <w:r>
              <w:rPr>
                <w:strike/>
              </w:rPr>
              <w:t xml:space="preserve"> </w:t>
            </w:r>
          </w:p>
          <w:p w:rsidR="0013599F" w:rsidRDefault="002C7CD6">
            <w:pPr>
              <w:spacing w:before="40" w:after="40" w:line="240" w:lineRule="auto"/>
            </w:pPr>
            <w:bookmarkStart w:id="53" w:name="_gjdgxs" w:colFirst="0" w:colLast="0"/>
            <w:bookmarkEnd w:id="53"/>
            <w:r>
              <w:t>(max. 500 znaků)</w:t>
            </w:r>
          </w:p>
        </w:tc>
        <w:tc>
          <w:tcPr>
            <w:tcW w:w="5528" w:type="dxa"/>
          </w:tcPr>
          <w:p w:rsidR="0013599F" w:rsidRDefault="0013599F">
            <w:pPr>
              <w:spacing w:before="40" w:after="40" w:line="240" w:lineRule="auto"/>
            </w:pPr>
          </w:p>
        </w:tc>
      </w:tr>
    </w:tbl>
    <w:p w:rsidR="0013599F" w:rsidRDefault="0013599F">
      <w:pPr>
        <w:jc w:val="both"/>
        <w:rPr>
          <w:b/>
          <w:sz w:val="22"/>
          <w:szCs w:val="22"/>
        </w:rPr>
      </w:pPr>
    </w:p>
    <w:sectPr w:rsidR="0013599F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D6" w:rsidRDefault="002C7CD6">
      <w:pPr>
        <w:spacing w:before="0" w:line="240" w:lineRule="auto"/>
      </w:pPr>
      <w:r>
        <w:separator/>
      </w:r>
    </w:p>
  </w:endnote>
  <w:endnote w:type="continuationSeparator" w:id="0">
    <w:p w:rsidR="002C7CD6" w:rsidRDefault="002C7C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9F" w:rsidRDefault="001359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</w:p>
  <w:p w:rsidR="0013599F" w:rsidRDefault="001359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  <w:color w:val="000000"/>
        <w:sz w:val="16"/>
        <w:szCs w:val="16"/>
      </w:rPr>
    </w:pPr>
  </w:p>
  <w:p w:rsidR="0013599F" w:rsidRDefault="002C7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Strana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3F51BD">
      <w:rPr>
        <w:color w:val="000000"/>
        <w:sz w:val="14"/>
        <w:szCs w:val="14"/>
      </w:rPr>
      <w:fldChar w:fldCharType="separate"/>
    </w:r>
    <w:r w:rsidR="003F51BD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3F51BD">
      <w:rPr>
        <w:color w:val="000000"/>
        <w:sz w:val="14"/>
        <w:szCs w:val="14"/>
      </w:rPr>
      <w:fldChar w:fldCharType="separate"/>
    </w:r>
    <w:r w:rsidR="003F51BD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D6" w:rsidRDefault="002C7CD6">
      <w:pPr>
        <w:spacing w:before="0" w:line="240" w:lineRule="auto"/>
      </w:pPr>
      <w:r>
        <w:separator/>
      </w:r>
    </w:p>
  </w:footnote>
  <w:footnote w:type="continuationSeparator" w:id="0">
    <w:p w:rsidR="002C7CD6" w:rsidRDefault="002C7CD6">
      <w:pPr>
        <w:spacing w:before="0" w:line="240" w:lineRule="auto"/>
      </w:pPr>
      <w:r>
        <w:continuationSeparator/>
      </w:r>
    </w:p>
  </w:footnote>
  <w:footnote w:id="1">
    <w:p w:rsidR="0013599F" w:rsidRDefault="002C7CD6">
      <w:pPr>
        <w:spacing w:before="0" w:line="240" w:lineRule="auto"/>
      </w:pPr>
      <w:r>
        <w:rPr>
          <w:vertAlign w:val="superscript"/>
        </w:rPr>
        <w:footnoteRef/>
      </w:r>
      <w:r>
        <w:t xml:space="preserve"> </w:t>
      </w:r>
      <w:r w:rsidRPr="000C0950">
        <w:rPr>
          <w:sz w:val="18"/>
          <w:szCs w:val="18"/>
        </w:rPr>
        <w:t xml:space="preserve">Pro jednoduchost v textu používáme </w:t>
      </w:r>
      <w:r w:rsidRPr="000C0950">
        <w:rPr>
          <w:sz w:val="18"/>
          <w:szCs w:val="18"/>
        </w:rPr>
        <w:t>termín „CTT”. Je tím myšleno jakékoliv pracoviště managementu znalostí.</w:t>
      </w:r>
    </w:p>
  </w:footnote>
  <w:footnote w:id="2">
    <w:p w:rsidR="0013599F" w:rsidRDefault="002C7CD6">
      <w:pPr>
        <w:spacing w:before="0" w:line="240" w:lineRule="auto"/>
      </w:pPr>
      <w:r>
        <w:rPr>
          <w:vertAlign w:val="superscript"/>
        </w:rPr>
        <w:footnoteRef/>
      </w:r>
      <w:r>
        <w:t xml:space="preserve"> </w:t>
      </w:r>
      <w:r w:rsidRPr="000C0950">
        <w:rPr>
          <w:sz w:val="18"/>
          <w:szCs w:val="18"/>
        </w:rPr>
        <w:t>Pokud se řešení projektu účastní více výzkumných organizací, kter</w:t>
      </w:r>
      <w:r w:rsidRPr="000C0950">
        <w:rPr>
          <w:sz w:val="18"/>
          <w:szCs w:val="18"/>
        </w:rPr>
        <w:t>é disponují vlastními CTT, provede výběr a</w:t>
      </w:r>
      <w:r w:rsidR="000C0950">
        <w:rPr>
          <w:sz w:val="18"/>
          <w:szCs w:val="18"/>
        </w:rPr>
        <w:t> </w:t>
      </w:r>
      <w:r w:rsidRPr="000C0950">
        <w:rPr>
          <w:sz w:val="18"/>
          <w:szCs w:val="18"/>
        </w:rPr>
        <w:t>kontrolu jedno z nich.</w:t>
      </w:r>
    </w:p>
  </w:footnote>
  <w:footnote w:id="3">
    <w:p w:rsidR="0013599F" w:rsidRDefault="002C7CD6">
      <w:pPr>
        <w:spacing w:before="0" w:line="240" w:lineRule="auto"/>
        <w:rPr>
          <w:b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 w:rsidRPr="000C0950">
        <w:rPr>
          <w:sz w:val="18"/>
          <w:szCs w:val="18"/>
        </w:rPr>
        <w:t xml:space="preserve">Článek 2 odst. 18 nařízení Komise (EU) č. </w:t>
      </w:r>
      <w:hyperlink r:id="rId1" w:anchor="L1">
        <w:r w:rsidRPr="000C0950">
          <w:rPr>
            <w:sz w:val="18"/>
            <w:szCs w:val="18"/>
          </w:rPr>
          <w:t>651/2014</w:t>
        </w:r>
      </w:hyperlink>
      <w:r w:rsidRPr="000C0950">
        <w:rPr>
          <w:sz w:val="18"/>
          <w:szCs w:val="18"/>
        </w:rPr>
        <w:t xml:space="preserve">. Článek 2 odst. 14 nařízení Komise (EU) č. </w:t>
      </w:r>
      <w:hyperlink r:id="rId2" w:anchor="L1">
        <w:r w:rsidRPr="000C0950">
          <w:rPr>
            <w:sz w:val="18"/>
            <w:szCs w:val="18"/>
          </w:rPr>
          <w:t>702/2014</w:t>
        </w:r>
      </w:hyperlink>
      <w:r w:rsidRPr="000C0950">
        <w:rPr>
          <w:sz w:val="18"/>
          <w:szCs w:val="18"/>
        </w:rPr>
        <w:t xml:space="preserve">, </w:t>
      </w:r>
      <w:r w:rsidRPr="000C0950">
        <w:rPr>
          <w:sz w:val="18"/>
          <w:szCs w:val="18"/>
        </w:rPr>
        <w:t xml:space="preserve">způsob výpočtu </w:t>
      </w:r>
      <w:hyperlink r:id="rId3">
        <w:r w:rsidRPr="000C0950">
          <w:rPr>
            <w:b/>
            <w:color w:val="F03741"/>
            <w:sz w:val="18"/>
            <w:szCs w:val="18"/>
            <w:u w:val="single"/>
          </w:rPr>
          <w:t>ZD</w:t>
        </w:r>
        <w:r w:rsidRPr="000C0950">
          <w:rPr>
            <w:b/>
            <w:color w:val="F03741"/>
            <w:sz w:val="18"/>
            <w:szCs w:val="18"/>
            <w:u w:val="single"/>
          </w:rPr>
          <w:t>E</w:t>
        </w:r>
      </w:hyperlink>
    </w:p>
  </w:footnote>
  <w:footnote w:id="4">
    <w:p w:rsidR="0013599F" w:rsidRDefault="002C7CD6">
      <w:pPr>
        <w:spacing w:before="0" w:line="240" w:lineRule="auto"/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https://www.uohs.cz/cs/verejna-podpora/nesplacene-inkasni-prikazy.html</w:t>
      </w:r>
    </w:p>
  </w:footnote>
  <w:footnote w:id="5">
    <w:p w:rsidR="0013599F" w:rsidRDefault="002C7CD6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zákon č. 37/2021 Sb., o evidenci skutečných majitelů</w:t>
      </w:r>
    </w:p>
  </w:footnote>
  <w:footnote w:id="6">
    <w:p w:rsidR="0013599F" w:rsidRDefault="002C7CD6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§ 2 zákona č. 159/2006 Sb., o střetu zájmů</w:t>
      </w:r>
    </w:p>
  </w:footnote>
  <w:footnote w:id="7">
    <w:p w:rsidR="0013599F" w:rsidRDefault="002C7CD6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§ 4 zákona č. 159/2006 Sb., o střetu zájmů</w:t>
      </w:r>
    </w:p>
  </w:footnote>
  <w:footnote w:id="8">
    <w:p w:rsidR="0013599F" w:rsidRDefault="002C7CD6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sankční seznamy OSN, Rady EU, Evropské komise nebo ČR</w:t>
      </w:r>
    </w:p>
  </w:footnote>
  <w:footnote w:id="9">
    <w:p w:rsidR="0013599F" w:rsidRDefault="002C7CD6">
      <w:pPr>
        <w:spacing w:before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dle § 503 odst. 2 zákona č. 89/2012 Sb., občanský zákoník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99F" w:rsidRDefault="00024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b/>
        <w:color w:val="66666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-719455</wp:posOffset>
          </wp:positionV>
          <wp:extent cx="2438400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CD6">
      <w:rPr>
        <w:b/>
        <w:color w:val="666666"/>
      </w:rPr>
      <w:t xml:space="preserve">4. VS </w:t>
    </w:r>
    <w:proofErr w:type="gramStart"/>
    <w:r w:rsidR="002C7CD6">
      <w:rPr>
        <w:b/>
        <w:color w:val="666666"/>
      </w:rPr>
      <w:t xml:space="preserve">SIGMA - </w:t>
    </w:r>
    <w:r w:rsidR="002C7CD6">
      <w:rPr>
        <w:b/>
        <w:color w:val="666666"/>
      </w:rPr>
      <w:t>DC1</w:t>
    </w:r>
    <w:proofErr w:type="gramEnd"/>
  </w:p>
  <w:p w:rsidR="0013599F" w:rsidRDefault="002C7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b/>
        <w:color w:val="666666"/>
      </w:rPr>
    </w:pPr>
    <w:r>
      <w:rPr>
        <w:b/>
        <w:color w:val="666666"/>
      </w:rPr>
      <w:t>Podpora aktivit „</w:t>
    </w:r>
    <w:proofErr w:type="spellStart"/>
    <w:r>
      <w:rPr>
        <w:b/>
        <w:color w:val="666666"/>
      </w:rPr>
      <w:t>Proof</w:t>
    </w:r>
    <w:proofErr w:type="spellEnd"/>
    <w:r>
      <w:rPr>
        <w:b/>
        <w:color w:val="666666"/>
      </w:rPr>
      <w:t xml:space="preserve"> </w:t>
    </w:r>
    <w:proofErr w:type="spellStart"/>
    <w:r>
      <w:rPr>
        <w:b/>
        <w:color w:val="666666"/>
      </w:rPr>
      <w:t>of</w:t>
    </w:r>
    <w:proofErr w:type="spellEnd"/>
    <w:r>
      <w:rPr>
        <w:b/>
        <w:color w:val="666666"/>
      </w:rPr>
      <w:t xml:space="preserve"> </w:t>
    </w:r>
    <w:proofErr w:type="spellStart"/>
    <w:r>
      <w:rPr>
        <w:b/>
        <w:color w:val="666666"/>
      </w:rPr>
      <w:t>Concept</w:t>
    </w:r>
    <w:proofErr w:type="spellEnd"/>
    <w:r>
      <w:rPr>
        <w:b/>
        <w:color w:val="666666"/>
      </w:rPr>
      <w:t>” ve výzkumných organizacích</w:t>
    </w:r>
  </w:p>
  <w:p w:rsidR="0013599F" w:rsidRDefault="001359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6D8"/>
    <w:multiLevelType w:val="multilevel"/>
    <w:tmpl w:val="922E9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C96AE3"/>
    <w:multiLevelType w:val="multilevel"/>
    <w:tmpl w:val="AE289F70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FE0C7C"/>
    <w:multiLevelType w:val="multilevel"/>
    <w:tmpl w:val="5394A7FE"/>
    <w:lvl w:ilvl="0">
      <w:start w:val="1"/>
      <w:numFmt w:val="decimal"/>
      <w:lvlText w:val="%1."/>
      <w:lvlJc w:val="left"/>
      <w:pPr>
        <w:ind w:left="708" w:hanging="283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F0C21FB"/>
    <w:multiLevelType w:val="multilevel"/>
    <w:tmpl w:val="87C04020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5BA6C9F"/>
    <w:multiLevelType w:val="multilevel"/>
    <w:tmpl w:val="9828AE4A"/>
    <w:lvl w:ilvl="0">
      <w:start w:val="3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04A11DF"/>
    <w:multiLevelType w:val="multilevel"/>
    <w:tmpl w:val="7856F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CB6487"/>
    <w:multiLevelType w:val="multilevel"/>
    <w:tmpl w:val="92707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BD6803"/>
    <w:multiLevelType w:val="multilevel"/>
    <w:tmpl w:val="2ED8A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9F"/>
    <w:rsid w:val="00024147"/>
    <w:rsid w:val="000C0950"/>
    <w:rsid w:val="0013599F"/>
    <w:rsid w:val="002C7CD6"/>
    <w:rsid w:val="003F51BD"/>
    <w:rsid w:val="006D5FA0"/>
    <w:rsid w:val="00952494"/>
    <w:rsid w:val="00A13718"/>
    <w:rsid w:val="00C25EEA"/>
    <w:rsid w:val="00F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3477"/>
  <w15:docId w15:val="{828EEB1E-ACB9-4717-9984-A965B91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CD0F19"/>
      <w:sz w:val="26"/>
      <w:szCs w:val="2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480"/>
    </w:pPr>
    <w:rPr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1B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1BD"/>
  </w:style>
  <w:style w:type="paragraph" w:styleId="Zpat">
    <w:name w:val="footer"/>
    <w:basedOn w:val="Normln"/>
    <w:link w:val="ZpatChar"/>
    <w:uiPriority w:val="99"/>
    <w:unhideWhenUsed/>
    <w:rsid w:val="003F51B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1BD"/>
  </w:style>
  <w:style w:type="paragraph" w:styleId="Normlnweb">
    <w:name w:val="Normal (Web)"/>
    <w:basedOn w:val="Normln"/>
    <w:uiPriority w:val="99"/>
    <w:semiHidden/>
    <w:unhideWhenUsed/>
    <w:rsid w:val="0095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095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m.justice.cz/ias/issm/rejstr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hs.cz/cs/verejna-podpora/podniky-v-obtizich.html" TargetMode="External"/><Relationship Id="rId2" Type="http://schemas.openxmlformats.org/officeDocument/2006/relationships/hyperlink" Target="https://next.codexis.cz/evropska-legislativa/EU112832" TargetMode="External"/><Relationship Id="rId1" Type="http://schemas.openxmlformats.org/officeDocument/2006/relationships/hyperlink" Target="https://next.codexis.cz/evropska-legislativa/EU112613?workspaceId=ae252325-0126-473b-92c4-779c93410d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1644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5</cp:revision>
  <dcterms:created xsi:type="dcterms:W3CDTF">2023-11-21T10:26:00Z</dcterms:created>
  <dcterms:modified xsi:type="dcterms:W3CDTF">2023-11-21T11:31:00Z</dcterms:modified>
</cp:coreProperties>
</file>